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page" w:horzAnchor="margin" w:tblpXSpec="center" w:tblpY="2041"/>
        <w:tblW w:w="15588" w:type="dxa"/>
        <w:tblLook w:val="04A0" w:firstRow="1" w:lastRow="0" w:firstColumn="1" w:lastColumn="0" w:noHBand="0" w:noVBand="1"/>
      </w:tblPr>
      <w:tblGrid>
        <w:gridCol w:w="2268"/>
        <w:gridCol w:w="13320"/>
      </w:tblGrid>
      <w:tr w:rsidR="0016012C" w:rsidRPr="0016012C" w:rsidTr="00D557C0">
        <w:trPr>
          <w:trHeight w:val="281"/>
        </w:trPr>
        <w:tc>
          <w:tcPr>
            <w:tcW w:w="2268" w:type="dxa"/>
            <w:shd w:val="clear" w:color="auto" w:fill="F2F2F2" w:themeFill="background1" w:themeFillShade="F2"/>
          </w:tcPr>
          <w:p w:rsidR="009B1199" w:rsidRPr="0016012C" w:rsidRDefault="009B1199" w:rsidP="00D557C0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BİRİMİ</w:t>
            </w:r>
          </w:p>
        </w:tc>
        <w:tc>
          <w:tcPr>
            <w:tcW w:w="13320" w:type="dxa"/>
          </w:tcPr>
          <w:p w:rsidR="009B1199" w:rsidRPr="0016012C" w:rsidRDefault="0016030B" w:rsidP="00D557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İDARİ VE MALİ İŞLER DAİRESİ BAŞKANLIĞI</w:t>
            </w:r>
          </w:p>
        </w:tc>
      </w:tr>
      <w:tr w:rsidR="0016012C" w:rsidRPr="0016012C" w:rsidTr="00D557C0">
        <w:trPr>
          <w:trHeight w:val="313"/>
        </w:trPr>
        <w:tc>
          <w:tcPr>
            <w:tcW w:w="2268" w:type="dxa"/>
            <w:shd w:val="clear" w:color="auto" w:fill="F2F2F2" w:themeFill="background1" w:themeFillShade="F2"/>
          </w:tcPr>
          <w:p w:rsidR="009B1199" w:rsidRPr="0016012C" w:rsidRDefault="009B1199" w:rsidP="00D557C0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 ADI</w:t>
            </w:r>
          </w:p>
        </w:tc>
        <w:tc>
          <w:tcPr>
            <w:tcW w:w="13320" w:type="dxa"/>
          </w:tcPr>
          <w:p w:rsidR="009B1199" w:rsidRPr="0016012C" w:rsidRDefault="0016030B" w:rsidP="00D557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SATINALMA ŞUBE MÜDÜRLÜĞÜ</w:t>
            </w:r>
          </w:p>
        </w:tc>
      </w:tr>
    </w:tbl>
    <w:p w:rsidR="00BE3E80" w:rsidRPr="0016012C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3394"/>
        <w:gridCol w:w="988"/>
        <w:gridCol w:w="4125"/>
        <w:gridCol w:w="1276"/>
        <w:gridCol w:w="2410"/>
      </w:tblGrid>
      <w:tr w:rsidR="00C563B1" w:rsidRPr="0016012C" w:rsidTr="00C563B1">
        <w:trPr>
          <w:trHeight w:val="1151"/>
        </w:trPr>
        <w:tc>
          <w:tcPr>
            <w:tcW w:w="567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2833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394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RİSKLER </w:t>
            </w:r>
          </w:p>
          <w:p w:rsidR="009B1199" w:rsidRPr="0016012C" w:rsidRDefault="009B1199" w:rsidP="009B119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988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RİSK DÜZEYİ</w:t>
            </w:r>
          </w:p>
        </w:tc>
        <w:tc>
          <w:tcPr>
            <w:tcW w:w="4125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KONTROLLER/TEDBİRLER</w:t>
            </w:r>
          </w:p>
          <w:p w:rsidR="009B1199" w:rsidRPr="0016012C" w:rsidRDefault="009B1199" w:rsidP="009B119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(Alınması Gereken Önlemler)</w:t>
            </w:r>
          </w:p>
        </w:tc>
        <w:tc>
          <w:tcPr>
            <w:tcW w:w="1276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PERİYODİK KONTROL EDİLMESİ GEREKEN SÜRE </w:t>
            </w:r>
          </w:p>
        </w:tc>
        <w:tc>
          <w:tcPr>
            <w:tcW w:w="2410" w:type="dxa"/>
            <w:vAlign w:val="center"/>
          </w:tcPr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GÖREVİ</w:t>
            </w:r>
          </w:p>
          <w:p w:rsidR="009B1199" w:rsidRPr="0016012C" w:rsidRDefault="009B1199" w:rsidP="009B1199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OLAN PERSONELİN ADI SOYADI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1</w:t>
            </w:r>
          </w:p>
        </w:tc>
        <w:tc>
          <w:tcPr>
            <w:tcW w:w="2833" w:type="dxa"/>
            <w:vAlign w:val="center"/>
          </w:tcPr>
          <w:p w:rsidR="00EA34CE" w:rsidRPr="00811B7D" w:rsidRDefault="0016030B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Arşivin Su Baskınından ve Yangından korunması için önlemler</w:t>
            </w:r>
          </w:p>
        </w:tc>
        <w:tc>
          <w:tcPr>
            <w:tcW w:w="3394" w:type="dxa"/>
            <w:vAlign w:val="center"/>
          </w:tcPr>
          <w:p w:rsidR="009B1199" w:rsidRPr="00811B7D" w:rsidRDefault="0016030B" w:rsidP="00EA34CE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Kıymetli bilgiler ve Evraklar zarar görür hatta Evrakları tamamen kaybedebiliriz.</w:t>
            </w:r>
          </w:p>
        </w:tc>
        <w:tc>
          <w:tcPr>
            <w:tcW w:w="988" w:type="dxa"/>
            <w:vAlign w:val="center"/>
          </w:tcPr>
          <w:p w:rsidR="009B1199" w:rsidRPr="00811B7D" w:rsidRDefault="0016030B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125" w:type="dxa"/>
            <w:vAlign w:val="center"/>
          </w:tcPr>
          <w:p w:rsidR="009B1199" w:rsidRPr="00811B7D" w:rsidRDefault="0016030B" w:rsidP="00EA34CE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Yangın algılama </w:t>
            </w:r>
            <w:proofErr w:type="spell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sensörleri</w:t>
            </w:r>
            <w:proofErr w:type="spell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, yangın tüplerinin tam dolu olması, Arşivin Bodrum vb. yerlere kurulmaması.</w:t>
            </w:r>
          </w:p>
        </w:tc>
        <w:tc>
          <w:tcPr>
            <w:tcW w:w="1276" w:type="dxa"/>
            <w:vAlign w:val="center"/>
          </w:tcPr>
          <w:p w:rsidR="009B1199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2 İş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</w:p>
        </w:tc>
        <w:tc>
          <w:tcPr>
            <w:tcW w:w="2410" w:type="dxa"/>
            <w:vAlign w:val="center"/>
          </w:tcPr>
          <w:p w:rsidR="0016030B" w:rsidRPr="00811B7D" w:rsidRDefault="0016030B" w:rsidP="0016030B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16030B" w:rsidRPr="00811B7D" w:rsidRDefault="0016030B" w:rsidP="0016030B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16030B" w:rsidRPr="00811B7D" w:rsidRDefault="0016030B" w:rsidP="0016030B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16030B" w:rsidRPr="00811B7D" w:rsidRDefault="0016030B" w:rsidP="0016030B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  <w:p w:rsidR="009B1199" w:rsidRPr="00811B7D" w:rsidRDefault="0016030B" w:rsidP="0016030B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Satı SARITAŞ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2</w:t>
            </w:r>
          </w:p>
        </w:tc>
        <w:tc>
          <w:tcPr>
            <w:tcW w:w="2833" w:type="dxa"/>
            <w:vAlign w:val="center"/>
          </w:tcPr>
          <w:p w:rsidR="009B1199" w:rsidRPr="00811B7D" w:rsidRDefault="00C563B1" w:rsidP="00E741EC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İhale kanunları kapsamında yapılan;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hizmet alım ihalelerine ilişkin ödemeler </w:t>
            </w:r>
          </w:p>
        </w:tc>
        <w:tc>
          <w:tcPr>
            <w:tcW w:w="3394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Mevzuat değişikliğinin takip edilememesi sonucu oluşabilecek yanlışlıklar.</w:t>
            </w:r>
          </w:p>
        </w:tc>
        <w:tc>
          <w:tcPr>
            <w:tcW w:w="988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125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Personelin gerekli eğitimler almasını sağlamak ve bilgilerini sürekli güncel tutmak, </w:t>
            </w:r>
            <w:proofErr w:type="spell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hakediş</w:t>
            </w:r>
            <w:proofErr w:type="spell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ödemelerinde kontrol teşkilatının evrakı hazırlayan personel dışında seçilmesi denetimi artıracaktır.</w:t>
            </w:r>
          </w:p>
        </w:tc>
        <w:tc>
          <w:tcPr>
            <w:tcW w:w="1276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1 iş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</w:p>
        </w:tc>
        <w:tc>
          <w:tcPr>
            <w:tcW w:w="2410" w:type="dxa"/>
            <w:vAlign w:val="center"/>
          </w:tcPr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  <w:p w:rsidR="009B1199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Satı SARITAŞ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2833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EBYS Sisteminin yönetilmesi ve izinlerin takibi</w:t>
            </w:r>
          </w:p>
        </w:tc>
        <w:tc>
          <w:tcPr>
            <w:tcW w:w="3394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Kurum içi ve kurum dışı yapılan yazışmalarda aksaklıklar olur. Kullanıcılar sistemi verimli kullanamaz. Sistem kullanılamaz hale gelebilir.</w:t>
            </w:r>
          </w:p>
        </w:tc>
        <w:tc>
          <w:tcPr>
            <w:tcW w:w="988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Orta</w:t>
            </w:r>
          </w:p>
        </w:tc>
        <w:tc>
          <w:tcPr>
            <w:tcW w:w="4125" w:type="dxa"/>
            <w:vAlign w:val="center"/>
          </w:tcPr>
          <w:p w:rsidR="009B1199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EBYS Sistemi yöneticisi ile koordineli çalışma yapılmalı</w:t>
            </w:r>
          </w:p>
        </w:tc>
        <w:tc>
          <w:tcPr>
            <w:tcW w:w="1276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1 iş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  <w:p w:rsidR="009B1199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Satı SARITAŞ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4</w:t>
            </w:r>
          </w:p>
        </w:tc>
        <w:tc>
          <w:tcPr>
            <w:tcW w:w="2833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Yolluk Ödemeleri</w:t>
            </w:r>
          </w:p>
        </w:tc>
        <w:tc>
          <w:tcPr>
            <w:tcW w:w="3394" w:type="dxa"/>
            <w:vAlign w:val="center"/>
          </w:tcPr>
          <w:p w:rsidR="00C563B1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Eksik veya yersiz ödemelere neden olunabilir.</w:t>
            </w:r>
          </w:p>
          <w:p w:rsidR="009B1199" w:rsidRPr="00811B7D" w:rsidRDefault="009B1199" w:rsidP="00C563B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125" w:type="dxa"/>
            <w:vAlign w:val="center"/>
          </w:tcPr>
          <w:p w:rsidR="009B1199" w:rsidRPr="00811B7D" w:rsidRDefault="00C563B1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Mevzuat sürekli takip edilmelidir. Evraklarda maddi hata olup olmadığı birkaç kişinin kontrolünden geçirilmelidir. Hazırlanan evraklar, mevzuat tekrar gözden geçirilerek hazırlanmalıdır.</w:t>
            </w:r>
          </w:p>
        </w:tc>
        <w:tc>
          <w:tcPr>
            <w:tcW w:w="1276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5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iş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</w:p>
        </w:tc>
        <w:tc>
          <w:tcPr>
            <w:tcW w:w="2410" w:type="dxa"/>
            <w:vAlign w:val="center"/>
          </w:tcPr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C563B1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  <w:p w:rsidR="009B1199" w:rsidRPr="00811B7D" w:rsidRDefault="00C563B1" w:rsidP="00C563B1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Satı SARITAŞ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5</w:t>
            </w:r>
          </w:p>
        </w:tc>
        <w:tc>
          <w:tcPr>
            <w:tcW w:w="2833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Her türlü avans ve kredilerin takibi</w:t>
            </w:r>
          </w:p>
        </w:tc>
        <w:tc>
          <w:tcPr>
            <w:tcW w:w="3394" w:type="dxa"/>
            <w:vAlign w:val="center"/>
          </w:tcPr>
          <w:p w:rsidR="009B1199" w:rsidRPr="00811B7D" w:rsidRDefault="00811B7D" w:rsidP="00D557C0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 xml:space="preserve">Zamanında kapatılmayan avans ve krediler, </w:t>
            </w:r>
            <w:r w:rsidR="00D557C0">
              <w:rPr>
                <w:rFonts w:ascii="Cambria" w:hAnsi="Cambria"/>
                <w:bCs/>
                <w:i/>
                <w:color w:val="000000" w:themeColor="text1"/>
                <w:sz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Belgelerin zamanında temin edilememesi</w:t>
            </w:r>
          </w:p>
        </w:tc>
        <w:tc>
          <w:tcPr>
            <w:tcW w:w="988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</w:rPr>
              <w:t>Yüksek</w:t>
            </w:r>
          </w:p>
        </w:tc>
        <w:tc>
          <w:tcPr>
            <w:tcW w:w="4125" w:type="dxa"/>
            <w:vAlign w:val="center"/>
          </w:tcPr>
          <w:p w:rsidR="00811B7D" w:rsidRPr="00811B7D" w:rsidRDefault="00811B7D" w:rsidP="0004172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</w:rPr>
              <w:t>Personelin gerekli eğitimler almasını sağlamak ve bilgilerini sürekli güncel tutmak, avans ve kredi süreç ve tarihlerin takip edilmesi</w:t>
            </w:r>
          </w:p>
        </w:tc>
        <w:tc>
          <w:tcPr>
            <w:tcW w:w="1276" w:type="dxa"/>
            <w:vAlign w:val="center"/>
          </w:tcPr>
          <w:p w:rsidR="0004172D" w:rsidRDefault="0004172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</w:p>
          <w:p w:rsidR="00D557C0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2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iş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</w:p>
          <w:p w:rsidR="009B1199" w:rsidRPr="00D557C0" w:rsidRDefault="009B1199" w:rsidP="00D557C0"/>
        </w:tc>
        <w:tc>
          <w:tcPr>
            <w:tcW w:w="2410" w:type="dxa"/>
            <w:vAlign w:val="center"/>
          </w:tcPr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9B1199" w:rsidRPr="0004172D" w:rsidRDefault="0004172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3" w:type="dxa"/>
            <w:vAlign w:val="center"/>
          </w:tcPr>
          <w:p w:rsidR="009B1199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Kamu kuruluşları, gerçek ve tüzel kişilere yapılan periyodik ödemeler (</w:t>
            </w:r>
            <w:proofErr w:type="spell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hakedişler</w:t>
            </w:r>
            <w:proofErr w:type="spell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, kiralar, elektrik, su vb. ödemeler)</w:t>
            </w:r>
          </w:p>
        </w:tc>
        <w:tc>
          <w:tcPr>
            <w:tcW w:w="3394" w:type="dxa"/>
            <w:vAlign w:val="center"/>
          </w:tcPr>
          <w:p w:rsid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</w:p>
          <w:p w:rsidR="009B1199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İtibar ve mali kayıplar, idare ve personel güveninin kaybolması, idari ve mali yaptırımlar Yapılacak geç ödemelerden doğan faiz ödemeleri, bazı hizmetlerin kesintiye uğraması</w:t>
            </w:r>
          </w:p>
          <w:p w:rsidR="00811B7D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125" w:type="dxa"/>
            <w:vAlign w:val="center"/>
          </w:tcPr>
          <w:p w:rsidR="009B1199" w:rsidRPr="00811B7D" w:rsidRDefault="00811B7D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Personelin gerekli eğitimler almasını sağlamak ve bilgilerini sürekli güncel tutmak, ödeme işlemleri sırasındaki süreç ve tarihlerin takip edilmesi</w:t>
            </w:r>
          </w:p>
        </w:tc>
        <w:tc>
          <w:tcPr>
            <w:tcW w:w="1276" w:type="dxa"/>
            <w:vAlign w:val="center"/>
          </w:tcPr>
          <w:p w:rsidR="009B1199" w:rsidRPr="00811B7D" w:rsidRDefault="00E741EC" w:rsidP="0073077A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3</w:t>
            </w:r>
            <w:r w:rsidR="00811B7D"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iş</w:t>
            </w: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11B7D"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</w:p>
        </w:tc>
        <w:tc>
          <w:tcPr>
            <w:tcW w:w="2410" w:type="dxa"/>
            <w:vAlign w:val="center"/>
          </w:tcPr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  <w:p w:rsidR="009B1199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Satı SARITAŞ</w:t>
            </w:r>
          </w:p>
        </w:tc>
      </w:tr>
      <w:tr w:rsidR="00C563B1" w:rsidRPr="0016012C" w:rsidTr="00C563B1">
        <w:tc>
          <w:tcPr>
            <w:tcW w:w="567" w:type="dxa"/>
            <w:vAlign w:val="center"/>
          </w:tcPr>
          <w:p w:rsidR="009B1199" w:rsidRPr="00811B7D" w:rsidRDefault="00811B7D" w:rsidP="009B1199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3" w:type="dxa"/>
            <w:vAlign w:val="center"/>
          </w:tcPr>
          <w:p w:rsidR="009B1199" w:rsidRPr="00811B7D" w:rsidRDefault="00811B7D" w:rsidP="009B1199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İhale kanunları kapsamında yapılan; mal ve hizmet alım ihaleleri</w:t>
            </w:r>
          </w:p>
        </w:tc>
        <w:tc>
          <w:tcPr>
            <w:tcW w:w="3394" w:type="dxa"/>
            <w:vAlign w:val="center"/>
          </w:tcPr>
          <w:p w:rsid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Yaklaşık maliyet gizliliğinin ihlal edilmesi, ihalede izlenmesi gereken tarih, süreç ve sürelere uyulmaması, yeterli duyuruların yapılmaması, rekabetin engellenmesi, isteklilere tekliflerini hazırlayabilmeleri için yeterli süre verilmemesi, ihale için verilen tekliflerin doğru</w:t>
            </w: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değerlendirilmemesi, ihale değerlendirilmesinden sonra ihale sonucunun tüm isteklilere bildirilmemesi, sözleşmeye kadar olan yasal sürelere uyulmaması, sözleşme esnasında</w:t>
            </w:r>
          </w:p>
          <w:p w:rsidR="009B1199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istenilen</w:t>
            </w:r>
            <w:proofErr w:type="gram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bilgi ve belgelerin doğru değerlendirilmemesi ve ihalelerin </w:t>
            </w:r>
            <w:proofErr w:type="spell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SGK'ya</w:t>
            </w:r>
            <w:proofErr w:type="spellEnd"/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bildirilmemesi.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9B1199" w:rsidRPr="00811B7D" w:rsidRDefault="00811B7D" w:rsidP="009B1199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125" w:type="dxa"/>
            <w:vAlign w:val="center"/>
          </w:tcPr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Gizliliğe önem vermek, piyasa araştırmasında rekabet ortamının sağlanması. </w:t>
            </w:r>
            <w:proofErr w:type="gram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ödenek</w:t>
            </w:r>
            <w:proofErr w:type="gram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durumunun</w:t>
            </w: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kontrolü,  Personelin gerekli eğitimler almasını sağlamak ve bilgilerini sürekli güncel tutmak, İhale onaylarının ilgili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personel</w:t>
            </w:r>
            <w:proofErr w:type="gram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tarafından elden takip edilmesi,</w:t>
            </w:r>
          </w:p>
          <w:p w:rsidR="009B1199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süreç</w:t>
            </w:r>
            <w:proofErr w:type="gramEnd"/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ve tarihlerin takip edilmesi,</w:t>
            </w:r>
          </w:p>
        </w:tc>
        <w:tc>
          <w:tcPr>
            <w:tcW w:w="1276" w:type="dxa"/>
            <w:vAlign w:val="center"/>
          </w:tcPr>
          <w:p w:rsidR="009B1199" w:rsidRPr="00811B7D" w:rsidRDefault="00811B7D" w:rsidP="009B1199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10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iş</w:t>
            </w:r>
            <w:r w:rsidR="00E741EC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günü</w:t>
            </w:r>
          </w:p>
        </w:tc>
        <w:tc>
          <w:tcPr>
            <w:tcW w:w="2410" w:type="dxa"/>
            <w:vAlign w:val="center"/>
          </w:tcPr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Emel ZORLU AKSUNUGUR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Derya GÜNDOĞMUŞ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Zeynep NAZLI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Mustafa KEDERSİZ</w:t>
            </w:r>
          </w:p>
          <w:p w:rsidR="009B1199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</w:pPr>
            <w:r w:rsidRPr="00811B7D">
              <w:rPr>
                <w:rFonts w:ascii="Cambria" w:hAnsi="Cambria"/>
                <w:bCs/>
                <w:i/>
                <w:color w:val="000000" w:themeColor="text1"/>
                <w:sz w:val="20"/>
                <w:szCs w:val="20"/>
              </w:rPr>
              <w:t>Satı SARITAŞ</w:t>
            </w:r>
          </w:p>
        </w:tc>
      </w:tr>
    </w:tbl>
    <w:p w:rsidR="009B1199" w:rsidRPr="0016012C" w:rsidRDefault="009B1199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16012C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244847" w:rsidRDefault="00244847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811B7D" w:rsidRPr="0016012C" w:rsidRDefault="00811B7D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pPr w:leftFromText="141" w:rightFromText="141" w:horzAnchor="margin" w:tblpXSpec="center" w:tblpY="-600"/>
        <w:tblW w:w="15588" w:type="dxa"/>
        <w:tblLook w:val="04A0" w:firstRow="1" w:lastRow="0" w:firstColumn="1" w:lastColumn="0" w:noHBand="0" w:noVBand="1"/>
      </w:tblPr>
      <w:tblGrid>
        <w:gridCol w:w="2415"/>
        <w:gridCol w:w="13173"/>
      </w:tblGrid>
      <w:tr w:rsidR="00244847" w:rsidRPr="0016012C" w:rsidTr="00D557C0">
        <w:tc>
          <w:tcPr>
            <w:tcW w:w="2415" w:type="dxa"/>
            <w:shd w:val="clear" w:color="auto" w:fill="F2F2F2" w:themeFill="background1" w:themeFillShade="F2"/>
          </w:tcPr>
          <w:p w:rsidR="00244847" w:rsidRPr="0016012C" w:rsidRDefault="00244847" w:rsidP="00D557C0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BİRİMİ</w:t>
            </w:r>
          </w:p>
        </w:tc>
        <w:tc>
          <w:tcPr>
            <w:tcW w:w="13173" w:type="dxa"/>
          </w:tcPr>
          <w:p w:rsidR="00244847" w:rsidRPr="0016012C" w:rsidRDefault="00811B7D" w:rsidP="00D557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İDARİ VE MALİ İŞLER DAİRESİ BAŞKANLIĞI</w:t>
            </w:r>
          </w:p>
        </w:tc>
      </w:tr>
      <w:tr w:rsidR="00244847" w:rsidRPr="0016012C" w:rsidTr="00D557C0">
        <w:tc>
          <w:tcPr>
            <w:tcW w:w="2415" w:type="dxa"/>
            <w:shd w:val="clear" w:color="auto" w:fill="F2F2F2" w:themeFill="background1" w:themeFillShade="F2"/>
          </w:tcPr>
          <w:p w:rsidR="00244847" w:rsidRPr="0016012C" w:rsidRDefault="00244847" w:rsidP="00D557C0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ALT BİRİM ADI</w:t>
            </w:r>
          </w:p>
        </w:tc>
        <w:tc>
          <w:tcPr>
            <w:tcW w:w="13173" w:type="dxa"/>
          </w:tcPr>
          <w:p w:rsidR="00244847" w:rsidRPr="0016012C" w:rsidRDefault="00811B7D" w:rsidP="00D557C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TAŞINIR MAL VE DESTEK HİZMETLERİ ŞUBE MÜDÜRLÜĞÜ</w:t>
            </w:r>
          </w:p>
        </w:tc>
      </w:tr>
    </w:tbl>
    <w:p w:rsidR="00244847" w:rsidRPr="0016012C" w:rsidRDefault="00244847" w:rsidP="00244847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15593" w:type="dxa"/>
        <w:tblInd w:w="-572" w:type="dxa"/>
        <w:tblLook w:val="04A0" w:firstRow="1" w:lastRow="0" w:firstColumn="1" w:lastColumn="0" w:noHBand="0" w:noVBand="1"/>
      </w:tblPr>
      <w:tblGrid>
        <w:gridCol w:w="556"/>
        <w:gridCol w:w="2746"/>
        <w:gridCol w:w="3479"/>
        <w:gridCol w:w="912"/>
        <w:gridCol w:w="4394"/>
        <w:gridCol w:w="1264"/>
        <w:gridCol w:w="2242"/>
      </w:tblGrid>
      <w:tr w:rsidR="00742556" w:rsidRPr="0016012C" w:rsidTr="00892D8E">
        <w:tc>
          <w:tcPr>
            <w:tcW w:w="556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2746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3479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RİSKLER </w:t>
            </w:r>
          </w:p>
          <w:p w:rsidR="00244847" w:rsidRPr="0016012C" w:rsidRDefault="00244847" w:rsidP="00E16A64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912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RİSK DÜZEYİ</w:t>
            </w:r>
            <w:sdt>
              <w:sdtPr>
                <w:rPr>
                  <w:rFonts w:ascii="Cambria" w:hAnsi="Cambria"/>
                  <w:b/>
                  <w:bCs/>
                  <w:color w:val="000000" w:themeColor="text1"/>
                  <w:sz w:val="20"/>
                  <w:szCs w:val="20"/>
                </w:rPr>
                <w:id w:val="-573594083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4394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KONTROLLER/TEDBİRLER</w:t>
            </w:r>
          </w:p>
          <w:p w:rsidR="00244847" w:rsidRPr="0016012C" w:rsidRDefault="00244847" w:rsidP="00E16A64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(Alınması Gereken Önlemler)</w:t>
            </w:r>
          </w:p>
        </w:tc>
        <w:tc>
          <w:tcPr>
            <w:tcW w:w="1264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GÖREVİN PERİYODİK KONTROL EDİLMESİ GEREKEN SÜRE </w:t>
            </w:r>
            <w:r w:rsidR="0081264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1264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hft</w:t>
            </w:r>
            <w:proofErr w:type="spellEnd"/>
          </w:p>
        </w:tc>
        <w:tc>
          <w:tcPr>
            <w:tcW w:w="2242" w:type="dxa"/>
            <w:vAlign w:val="center"/>
          </w:tcPr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HASSAS GÖREVİ</w:t>
            </w:r>
          </w:p>
          <w:p w:rsidR="00244847" w:rsidRPr="0016012C" w:rsidRDefault="00244847" w:rsidP="00E16A64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6012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OLAN PERSONELİN ADI SOYADI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</w:t>
            </w:r>
          </w:p>
        </w:tc>
        <w:tc>
          <w:tcPr>
            <w:tcW w:w="2746" w:type="dxa"/>
            <w:vAlign w:val="center"/>
          </w:tcPr>
          <w:p w:rsidR="00244847" w:rsidRPr="00811B7D" w:rsidRDefault="00811B7D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Sivil savunma hizmetleri, Acil afet yönetimi, 24 Saat çalışma planları</w:t>
            </w:r>
          </w:p>
        </w:tc>
        <w:tc>
          <w:tcPr>
            <w:tcW w:w="3479" w:type="dxa"/>
            <w:vAlign w:val="center"/>
          </w:tcPr>
          <w:p w:rsidR="00244847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Yangın, deprem ve her türlü afetlerde can ve mal kayıplarının olması, Afetler sonrası gerekli arama, kurtarma ve sonrasında tedavi, tahliye işlemlerine aksamalar meydana gelmesi</w:t>
            </w:r>
          </w:p>
        </w:tc>
        <w:tc>
          <w:tcPr>
            <w:tcW w:w="912" w:type="dxa"/>
            <w:vAlign w:val="center"/>
          </w:tcPr>
          <w:p w:rsidR="00244847" w:rsidRPr="00811B7D" w:rsidRDefault="00811B7D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244847" w:rsidRPr="00811B7D" w:rsidRDefault="00811B7D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Personelin gerekli eğitimler almasını sağlamak ve bilgilerini sürekli güncel tutmak, 24 saatlik çalışma planlarındaki personel bilgilerini sürekli güncel tutmak</w:t>
            </w:r>
          </w:p>
        </w:tc>
        <w:tc>
          <w:tcPr>
            <w:tcW w:w="1264" w:type="dxa"/>
            <w:vAlign w:val="center"/>
          </w:tcPr>
          <w:p w:rsidR="00244847" w:rsidRPr="00811B7D" w:rsidRDefault="00D557C0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5 İş günü</w:t>
            </w:r>
          </w:p>
        </w:tc>
        <w:tc>
          <w:tcPr>
            <w:tcW w:w="2242" w:type="dxa"/>
            <w:vAlign w:val="center"/>
          </w:tcPr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Ali ÖZGÜNER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 w:rsidRPr="00811B7D"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 w:rsidRPr="00811B7D"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Yalçın KAPICI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Onur KARADUMAN</w:t>
            </w:r>
          </w:p>
          <w:p w:rsidR="00811B7D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Emrah CAN</w:t>
            </w:r>
          </w:p>
          <w:p w:rsidR="00244847" w:rsidRPr="00811B7D" w:rsidRDefault="00811B7D" w:rsidP="00811B7D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Tugay GÜNAY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2</w:t>
            </w:r>
          </w:p>
        </w:tc>
        <w:tc>
          <w:tcPr>
            <w:tcW w:w="2746" w:type="dxa"/>
            <w:vAlign w:val="center"/>
          </w:tcPr>
          <w:p w:rsidR="00244847" w:rsidRPr="00811B7D" w:rsidRDefault="00811B7D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Taşınır Kayıt Sistemi üzerinden yapılan giriş ve çıkış işlemleri</w:t>
            </w:r>
          </w:p>
        </w:tc>
        <w:tc>
          <w:tcPr>
            <w:tcW w:w="3479" w:type="dxa"/>
            <w:vAlign w:val="center"/>
          </w:tcPr>
          <w:p w:rsidR="00244847" w:rsidRPr="00811B7D" w:rsidRDefault="00811B7D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Teslim edilen taşınır ve sistem üzerinden çıkışlarından örtüşmemesi</w:t>
            </w:r>
          </w:p>
        </w:tc>
        <w:tc>
          <w:tcPr>
            <w:tcW w:w="912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Orta</w:t>
            </w:r>
          </w:p>
        </w:tc>
        <w:tc>
          <w:tcPr>
            <w:tcW w:w="4394" w:type="dxa"/>
            <w:vAlign w:val="center"/>
          </w:tcPr>
          <w:p w:rsidR="00244847" w:rsidRPr="00811B7D" w:rsidRDefault="00811B7D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Birimler arası koordinasyonun sağlanarak kontrollerin yapılması</w:t>
            </w:r>
          </w:p>
        </w:tc>
        <w:tc>
          <w:tcPr>
            <w:tcW w:w="1264" w:type="dxa"/>
            <w:vAlign w:val="center"/>
          </w:tcPr>
          <w:p w:rsidR="00244847" w:rsidRPr="00811B7D" w:rsidRDefault="00D557C0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Kadir TEMEL</w:t>
            </w:r>
          </w:p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3</w:t>
            </w:r>
          </w:p>
        </w:tc>
        <w:tc>
          <w:tcPr>
            <w:tcW w:w="2746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Taşınırların depolanması</w:t>
            </w:r>
          </w:p>
        </w:tc>
        <w:tc>
          <w:tcPr>
            <w:tcW w:w="3479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Taşınırların zarar görmesi</w:t>
            </w:r>
          </w:p>
        </w:tc>
        <w:tc>
          <w:tcPr>
            <w:tcW w:w="912" w:type="dxa"/>
            <w:vAlign w:val="center"/>
          </w:tcPr>
          <w:p w:rsidR="00244847" w:rsidRPr="00811B7D" w:rsidRDefault="00742556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Depoların saklama koşullarına uygun hale</w:t>
            </w:r>
          </w:p>
          <w:p w:rsidR="00244847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gramStart"/>
            <w:r w:rsidRPr="00742556">
              <w:rPr>
                <w:rFonts w:ascii="Cambria" w:hAnsi="Cambria"/>
                <w:bCs/>
                <w:i/>
                <w:sz w:val="20"/>
              </w:rPr>
              <w:t>getirilmesi</w:t>
            </w:r>
            <w:proofErr w:type="gramEnd"/>
            <w:r w:rsidRPr="00742556">
              <w:rPr>
                <w:rFonts w:ascii="Cambria" w:hAnsi="Cambria"/>
                <w:bCs/>
                <w:i/>
                <w:sz w:val="20"/>
              </w:rPr>
              <w:t xml:space="preserve"> ve kontrolü</w:t>
            </w:r>
          </w:p>
        </w:tc>
        <w:tc>
          <w:tcPr>
            <w:tcW w:w="1264" w:type="dxa"/>
            <w:vAlign w:val="center"/>
          </w:tcPr>
          <w:p w:rsidR="00244847" w:rsidRPr="00811B7D" w:rsidRDefault="00D557C0" w:rsidP="00E16A64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Kadir TEMEL</w:t>
            </w:r>
          </w:p>
          <w:p w:rsidR="00244847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4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Taşınır Kayıt Sistemi sorunları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Taşınır Mal işlemlerinin yapılamaması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Orta</w:t>
            </w:r>
          </w:p>
        </w:tc>
        <w:tc>
          <w:tcPr>
            <w:tcW w:w="4394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Sistem yöneticisi olan Maliye Bakanlığı'na sistemsel sorunların bildirilmesi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Kadir TEMEL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5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Zimmet İşlemleri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Kurumdan veya birimden ayrılan kişilerin üzerinde zimmetli taşınır görünmesi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Kurumdan veya biriminden ayrılan</w:t>
            </w:r>
          </w:p>
          <w:p w:rsidR="00742556" w:rsidRPr="00811B7D" w:rsidRDefault="00742556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 xml:space="preserve">personelin </w:t>
            </w:r>
            <w:r w:rsidR="00892D8E">
              <w:rPr>
                <w:rFonts w:ascii="Cambria" w:hAnsi="Cambria"/>
                <w:bCs/>
                <w:i/>
                <w:sz w:val="20"/>
              </w:rPr>
              <w:t xml:space="preserve">üzerine zimmetli taşınırları vermeden ilişik </w:t>
            </w:r>
            <w:proofErr w:type="gramStart"/>
            <w:r w:rsidR="00892D8E">
              <w:rPr>
                <w:rFonts w:ascii="Cambria" w:hAnsi="Cambria"/>
                <w:bCs/>
                <w:i/>
                <w:sz w:val="20"/>
              </w:rPr>
              <w:t>kesme  belgelerinin</w:t>
            </w:r>
            <w:proofErr w:type="gramEnd"/>
            <w:r w:rsidR="00892D8E">
              <w:rPr>
                <w:rFonts w:ascii="Cambria" w:hAnsi="Cambria"/>
                <w:bCs/>
                <w:i/>
                <w:sz w:val="20"/>
              </w:rPr>
              <w:t xml:space="preserve"> imzalanmaması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Kadir TEMEL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6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Yıl Sonu Taşınır İşlemleri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Yılsonu hesaplarının kapatılamaması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</w:p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Birimimize bağlı diğer harcama birimleri</w:t>
            </w:r>
          </w:p>
          <w:p w:rsid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gramStart"/>
            <w:r w:rsidRPr="00742556">
              <w:rPr>
                <w:rFonts w:ascii="Cambria" w:hAnsi="Cambria"/>
                <w:bCs/>
                <w:i/>
                <w:sz w:val="20"/>
              </w:rPr>
              <w:t>yetkililerinin</w:t>
            </w:r>
            <w:proofErr w:type="gramEnd"/>
            <w:r w:rsidRPr="00742556">
              <w:rPr>
                <w:rFonts w:ascii="Cambria" w:hAnsi="Cambria"/>
                <w:bCs/>
                <w:i/>
                <w:sz w:val="20"/>
              </w:rPr>
              <w:t xml:space="preserve"> bilgilendirilmesi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Kadir TEMEL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7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Firmalardan depolarımıza taşınır teslim alınması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Teslim alınacak taşınırların teknik şartnameye uygun olmaması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Taşınırların muayenesinin özenli bir şekilde yapılması ve kontrolü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Kadir TEMEL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lastRenderedPageBreak/>
              <w:t>8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Güvenlik Personeli Takibi, Denetimi, Üniversite Kamera İzlemi ve Güvenlik ile ilgili Yazışmalar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Güvenlikle ilgili olayların organize edilememesi. Öğrenci olayları,</w:t>
            </w:r>
            <w:r>
              <w:rPr>
                <w:rFonts w:ascii="Cambria" w:hAnsi="Cambria"/>
                <w:bCs/>
                <w:i/>
                <w:sz w:val="20"/>
              </w:rPr>
              <w:t xml:space="preserve"> </w:t>
            </w:r>
            <w:r w:rsidRPr="00742556">
              <w:rPr>
                <w:rFonts w:ascii="Cambria" w:hAnsi="Cambria"/>
                <w:bCs/>
                <w:i/>
                <w:sz w:val="20"/>
              </w:rPr>
              <w:t>sabotaj vd. gibi olaylar ve bu olayların önceden kolluk kuvvetlerine bildirilememesi. Yaşanabilecek olayların kayıt altına alınamaması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Kurumun güvenlikle ilgili tedbirlerin alınması, sevk ve idare edilmesi. Denetimin sürekli yapılması. Yaşanabilecek olaylardan önce kolluk kuvvetlerine resmi yazı yazılması. Bütün birimlerin kamera ile takip edilmesi olabilecek olaylara önceden</w:t>
            </w:r>
            <w:r w:rsidR="00D557C0">
              <w:rPr>
                <w:rFonts w:ascii="Cambria" w:hAnsi="Cambria"/>
                <w:bCs/>
                <w:i/>
                <w:sz w:val="20"/>
              </w:rPr>
              <w:t xml:space="preserve"> </w:t>
            </w:r>
            <w:r w:rsidRPr="00742556">
              <w:rPr>
                <w:rFonts w:ascii="Cambria" w:hAnsi="Cambria"/>
                <w:bCs/>
                <w:i/>
                <w:sz w:val="20"/>
              </w:rPr>
              <w:t>tedbir alınması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5 İş günü</w:t>
            </w:r>
          </w:p>
        </w:tc>
        <w:tc>
          <w:tcPr>
            <w:tcW w:w="2242" w:type="dxa"/>
            <w:vAlign w:val="center"/>
          </w:tcPr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Ali ÖZGÜNER</w:t>
            </w:r>
          </w:p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Emrah CAN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Tugay GÜNAY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9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Ulaşım hizmetlerinin sağlanması,</w:t>
            </w:r>
            <w:r>
              <w:rPr>
                <w:rFonts w:ascii="Cambria" w:hAnsi="Cambria"/>
                <w:bCs/>
                <w:i/>
                <w:sz w:val="20"/>
              </w:rPr>
              <w:t xml:space="preserve"> </w:t>
            </w:r>
            <w:r w:rsidRPr="00742556">
              <w:rPr>
                <w:rFonts w:ascii="Cambria" w:hAnsi="Cambria"/>
                <w:bCs/>
                <w:i/>
                <w:sz w:val="20"/>
              </w:rPr>
              <w:t>Araçların kullanıma hazır</w:t>
            </w:r>
            <w:r>
              <w:rPr>
                <w:rFonts w:ascii="Cambria" w:hAnsi="Cambria"/>
                <w:bCs/>
                <w:i/>
                <w:sz w:val="20"/>
              </w:rPr>
              <w:t xml:space="preserve"> </w:t>
            </w:r>
            <w:r w:rsidRPr="00742556">
              <w:rPr>
                <w:rFonts w:ascii="Cambria" w:hAnsi="Cambria"/>
                <w:bCs/>
                <w:i/>
                <w:sz w:val="20"/>
              </w:rPr>
              <w:t>bulundurulması, Araçların bakımının yapılması</w:t>
            </w:r>
          </w:p>
        </w:tc>
        <w:tc>
          <w:tcPr>
            <w:tcW w:w="3479" w:type="dxa"/>
            <w:vAlign w:val="center"/>
          </w:tcPr>
          <w:p w:rsidR="00742556" w:rsidRPr="00811B7D" w:rsidRDefault="006878C5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 xml:space="preserve">Kurum hizmetlerinin aksaması, </w:t>
            </w:r>
            <w:r w:rsidR="00742556" w:rsidRPr="00742556">
              <w:rPr>
                <w:rFonts w:ascii="Cambria" w:hAnsi="Cambria"/>
                <w:bCs/>
                <w:i/>
                <w:sz w:val="20"/>
              </w:rPr>
              <w:t xml:space="preserve"> can ve mal kaybına sebep olabilecek kazaların oluşması, idari ve adli yaptırımların doğması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Personelin gerekli eğitimler almasını sağlamak,</w:t>
            </w:r>
          </w:p>
          <w:p w:rsidR="00742556" w:rsidRPr="00811B7D" w:rsidRDefault="00742556" w:rsidP="00812649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gramStart"/>
            <w:r w:rsidRPr="00742556">
              <w:rPr>
                <w:rFonts w:ascii="Cambria" w:hAnsi="Cambria"/>
                <w:bCs/>
                <w:i/>
                <w:sz w:val="20"/>
              </w:rPr>
              <w:t>araçların</w:t>
            </w:r>
            <w:proofErr w:type="gramEnd"/>
            <w:r w:rsidRPr="00742556">
              <w:rPr>
                <w:rFonts w:ascii="Cambria" w:hAnsi="Cambria"/>
                <w:bCs/>
                <w:i/>
                <w:sz w:val="20"/>
              </w:rPr>
              <w:t xml:space="preserve"> bakım onarımının yaptırılması, kullanıma hazır bulundurulması, </w:t>
            </w:r>
            <w:r w:rsidR="00812649">
              <w:rPr>
                <w:rFonts w:ascii="Cambria" w:hAnsi="Cambria"/>
                <w:bCs/>
                <w:i/>
                <w:sz w:val="20"/>
              </w:rPr>
              <w:t>araç taleplerinin yazılı olarak istenmesi ve şehir dışı görevler için olur alınması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742556" w:rsidRP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Ali ÖZGÜNER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Ferhat PEKTÜRK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10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Temizlik hizmetlerinin aksamadan yerine getirilmesi ve denetimlerin yapılması.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İtibar kaybı ve idari yaptırımların doğması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Orta</w:t>
            </w:r>
          </w:p>
        </w:tc>
        <w:tc>
          <w:tcPr>
            <w:tcW w:w="4394" w:type="dxa"/>
            <w:vAlign w:val="center"/>
          </w:tcPr>
          <w:p w:rsidR="00742556" w:rsidRPr="00811B7D" w:rsidRDefault="00742556" w:rsidP="00812649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 xml:space="preserve">Temizlik personelinin </w:t>
            </w:r>
            <w:r w:rsidR="00812649">
              <w:rPr>
                <w:rFonts w:ascii="Cambria" w:hAnsi="Cambria"/>
                <w:bCs/>
                <w:i/>
                <w:sz w:val="20"/>
              </w:rPr>
              <w:t xml:space="preserve">kılık kıyafet ve sorumluluk alanlarının </w:t>
            </w:r>
            <w:r w:rsidRPr="00742556">
              <w:rPr>
                <w:rFonts w:ascii="Cambria" w:hAnsi="Cambria"/>
                <w:bCs/>
                <w:i/>
                <w:sz w:val="20"/>
              </w:rPr>
              <w:t>sürekli</w:t>
            </w:r>
            <w:r w:rsidR="00812649">
              <w:rPr>
                <w:rFonts w:ascii="Cambria" w:hAnsi="Cambria"/>
                <w:bCs/>
                <w:i/>
                <w:sz w:val="20"/>
              </w:rPr>
              <w:t xml:space="preserve"> denetlenerek </w:t>
            </w:r>
            <w:proofErr w:type="gramStart"/>
            <w:r w:rsidR="00812649">
              <w:rPr>
                <w:rFonts w:ascii="Cambria" w:hAnsi="Cambria"/>
                <w:bCs/>
                <w:i/>
                <w:sz w:val="20"/>
              </w:rPr>
              <w:t>hijyeni</w:t>
            </w:r>
            <w:proofErr w:type="gramEnd"/>
            <w:r w:rsidR="00812649">
              <w:rPr>
                <w:rFonts w:ascii="Cambria" w:hAnsi="Cambria"/>
                <w:bCs/>
                <w:i/>
                <w:sz w:val="20"/>
              </w:rPr>
              <w:t xml:space="preserve"> sağlamak.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5 İş günü</w:t>
            </w:r>
          </w:p>
        </w:tc>
        <w:tc>
          <w:tcPr>
            <w:tcW w:w="224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Ali ÖZGÜNER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Yalçın KAPICI</w:t>
            </w:r>
          </w:p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811B7D">
              <w:rPr>
                <w:rFonts w:ascii="Cambria" w:hAnsi="Cambria"/>
                <w:bCs/>
                <w:i/>
                <w:sz w:val="20"/>
              </w:rPr>
              <w:t>Onur KARADUMAN</w:t>
            </w:r>
          </w:p>
        </w:tc>
      </w:tr>
      <w:tr w:rsidR="00742556" w:rsidRPr="0016012C" w:rsidTr="00892D8E">
        <w:tc>
          <w:tcPr>
            <w:tcW w:w="556" w:type="dxa"/>
            <w:vAlign w:val="center"/>
          </w:tcPr>
          <w:p w:rsidR="00742556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11</w:t>
            </w:r>
          </w:p>
        </w:tc>
        <w:tc>
          <w:tcPr>
            <w:tcW w:w="2746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Taşıt, Makine, Teçhizatın bakım</w:t>
            </w:r>
            <w:r>
              <w:rPr>
                <w:rFonts w:ascii="Cambria" w:hAnsi="Cambria"/>
                <w:bCs/>
                <w:i/>
                <w:sz w:val="20"/>
              </w:rPr>
              <w:t xml:space="preserve"> </w:t>
            </w:r>
            <w:r w:rsidRPr="00742556">
              <w:rPr>
                <w:rFonts w:ascii="Cambria" w:hAnsi="Cambria"/>
                <w:bCs/>
                <w:i/>
                <w:sz w:val="20"/>
              </w:rPr>
              <w:t>onarımlarının zamanında yapılması</w:t>
            </w:r>
          </w:p>
        </w:tc>
        <w:tc>
          <w:tcPr>
            <w:tcW w:w="3479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Kurumumuzca sunulan eğitim öğretim hizmetlerinin aksaması, muhtelif kazaların ortaya çıkması, itibar ve mali kayıplar, idari ve adli yaptırımlar</w:t>
            </w:r>
          </w:p>
        </w:tc>
        <w:tc>
          <w:tcPr>
            <w:tcW w:w="912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Yüksek</w:t>
            </w:r>
          </w:p>
        </w:tc>
        <w:tc>
          <w:tcPr>
            <w:tcW w:w="4394" w:type="dxa"/>
            <w:vAlign w:val="center"/>
          </w:tcPr>
          <w:p w:rsidR="00742556" w:rsidRPr="00811B7D" w:rsidRDefault="00742556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Personelin gerekli eğitimler almasını sağlamak ve bilgilerini sürekli güncel tutmak, taşıt, makine, teçhizatın periyodik bakım onarım kartları düzenlenmesi ve takip edilmesi</w:t>
            </w:r>
          </w:p>
        </w:tc>
        <w:tc>
          <w:tcPr>
            <w:tcW w:w="1264" w:type="dxa"/>
            <w:vAlign w:val="center"/>
          </w:tcPr>
          <w:p w:rsidR="00742556" w:rsidRPr="00811B7D" w:rsidRDefault="00D557C0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5 İş günü</w:t>
            </w:r>
          </w:p>
        </w:tc>
        <w:tc>
          <w:tcPr>
            <w:tcW w:w="2242" w:type="dxa"/>
            <w:vAlign w:val="center"/>
          </w:tcPr>
          <w:p w:rsidR="00D557C0" w:rsidRPr="00742556" w:rsidRDefault="00D557C0" w:rsidP="00D557C0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 w:rsidRPr="00742556">
              <w:rPr>
                <w:rFonts w:ascii="Cambria" w:hAnsi="Cambria"/>
                <w:bCs/>
                <w:i/>
                <w:sz w:val="20"/>
              </w:rPr>
              <w:t>Ali ÖZGÜNER</w:t>
            </w:r>
          </w:p>
          <w:p w:rsidR="00742556" w:rsidRPr="00811B7D" w:rsidRDefault="00D557C0" w:rsidP="00D557C0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Ferhat PEKTÜRK</w:t>
            </w:r>
          </w:p>
        </w:tc>
      </w:tr>
      <w:tr w:rsidR="00812649" w:rsidRPr="0016012C" w:rsidTr="00892D8E">
        <w:tc>
          <w:tcPr>
            <w:tcW w:w="556" w:type="dxa"/>
            <w:vAlign w:val="center"/>
          </w:tcPr>
          <w:p w:rsidR="00812649" w:rsidRDefault="00812649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12</w:t>
            </w:r>
          </w:p>
        </w:tc>
        <w:tc>
          <w:tcPr>
            <w:tcW w:w="2746" w:type="dxa"/>
            <w:vAlign w:val="center"/>
          </w:tcPr>
          <w:p w:rsidR="00812649" w:rsidRPr="00742556" w:rsidRDefault="00812649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 xml:space="preserve">Personel araç </w:t>
            </w:r>
            <w:proofErr w:type="spellStart"/>
            <w:r>
              <w:rPr>
                <w:rFonts w:ascii="Cambria" w:hAnsi="Cambria"/>
                <w:bCs/>
                <w:i/>
                <w:sz w:val="20"/>
              </w:rPr>
              <w:t>stickerlarının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sisteme tanımlanmaması</w:t>
            </w:r>
          </w:p>
        </w:tc>
        <w:tc>
          <w:tcPr>
            <w:tcW w:w="3479" w:type="dxa"/>
            <w:vAlign w:val="center"/>
          </w:tcPr>
          <w:p w:rsidR="00812649" w:rsidRPr="00742556" w:rsidRDefault="00812649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Personelin araç geçiş noktalarında sorun yaşaması</w:t>
            </w:r>
          </w:p>
        </w:tc>
        <w:tc>
          <w:tcPr>
            <w:tcW w:w="912" w:type="dxa"/>
            <w:vAlign w:val="center"/>
          </w:tcPr>
          <w:p w:rsidR="00812649" w:rsidRDefault="00812649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Orta</w:t>
            </w:r>
          </w:p>
        </w:tc>
        <w:tc>
          <w:tcPr>
            <w:tcW w:w="4394" w:type="dxa"/>
            <w:vAlign w:val="center"/>
          </w:tcPr>
          <w:p w:rsidR="00812649" w:rsidRPr="00742556" w:rsidRDefault="00812649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 xml:space="preserve">Sisteme girecek personel yedekli yapılmış olup </w:t>
            </w:r>
            <w:proofErr w:type="spellStart"/>
            <w:proofErr w:type="gramStart"/>
            <w:r>
              <w:rPr>
                <w:rFonts w:ascii="Cambria" w:hAnsi="Cambria"/>
                <w:bCs/>
                <w:i/>
                <w:sz w:val="20"/>
              </w:rPr>
              <w:t>Stickerların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 sisteme</w:t>
            </w:r>
            <w:proofErr w:type="gramEnd"/>
            <w:r>
              <w:rPr>
                <w:rFonts w:ascii="Cambria" w:hAnsi="Cambria"/>
                <w:bCs/>
                <w:i/>
                <w:sz w:val="20"/>
              </w:rPr>
              <w:t xml:space="preserve"> düzenli olarak tanımlanması ve </w:t>
            </w:r>
            <w:proofErr w:type="spellStart"/>
            <w:r>
              <w:rPr>
                <w:rFonts w:ascii="Cambria" w:hAnsi="Cambria"/>
                <w:bCs/>
                <w:i/>
                <w:sz w:val="20"/>
              </w:rPr>
              <w:t>stickerlerin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araçlara nasıl yapıştırılacağına dair görselin Birim WEP sayfasında yayınlanması</w:t>
            </w:r>
          </w:p>
        </w:tc>
        <w:tc>
          <w:tcPr>
            <w:tcW w:w="1264" w:type="dxa"/>
            <w:vAlign w:val="center"/>
          </w:tcPr>
          <w:p w:rsidR="00812649" w:rsidRDefault="00892D8E" w:rsidP="00742556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812649" w:rsidRDefault="00812649" w:rsidP="00D557C0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 </w:t>
            </w:r>
          </w:p>
          <w:p w:rsidR="00812649" w:rsidRPr="00742556" w:rsidRDefault="00812649" w:rsidP="00D557C0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Kadir TEMEL</w:t>
            </w:r>
          </w:p>
        </w:tc>
      </w:tr>
      <w:tr w:rsidR="00892D8E" w:rsidRPr="0016012C" w:rsidTr="00892D8E">
        <w:trPr>
          <w:trHeight w:val="633"/>
        </w:trPr>
        <w:tc>
          <w:tcPr>
            <w:tcW w:w="556" w:type="dxa"/>
            <w:vAlign w:val="center"/>
          </w:tcPr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13</w:t>
            </w:r>
          </w:p>
        </w:tc>
        <w:tc>
          <w:tcPr>
            <w:tcW w:w="2746" w:type="dxa"/>
            <w:vAlign w:val="center"/>
          </w:tcPr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Sıfır Atık İşlemlerinin Aksaması</w:t>
            </w:r>
          </w:p>
        </w:tc>
        <w:tc>
          <w:tcPr>
            <w:tcW w:w="3479" w:type="dxa"/>
            <w:vAlign w:val="center"/>
          </w:tcPr>
          <w:p w:rsidR="00892D8E" w:rsidRPr="00742556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EÇBS Sistemine veri girişinde sorun olması ve geri dönüştürülebilir atık kaybı</w:t>
            </w:r>
          </w:p>
        </w:tc>
        <w:tc>
          <w:tcPr>
            <w:tcW w:w="912" w:type="dxa"/>
            <w:vAlign w:val="center"/>
          </w:tcPr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Orta</w:t>
            </w:r>
          </w:p>
        </w:tc>
        <w:tc>
          <w:tcPr>
            <w:tcW w:w="4394" w:type="dxa"/>
            <w:vAlign w:val="center"/>
          </w:tcPr>
          <w:p w:rsidR="00892D8E" w:rsidRPr="00742556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 xml:space="preserve">Atıkların Atık depolama merkezine </w:t>
            </w:r>
            <w:proofErr w:type="spellStart"/>
            <w:r>
              <w:rPr>
                <w:rFonts w:ascii="Cambria" w:hAnsi="Cambria"/>
                <w:bCs/>
                <w:i/>
                <w:sz w:val="20"/>
              </w:rPr>
              <w:t>hergün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belirli zamanlarda toplanması ve konteynerlerin dolması ile firmaya haber verilmesi Ayrıca yedekli personel ile sisteme veri girişi sağlanması</w:t>
            </w:r>
          </w:p>
        </w:tc>
        <w:tc>
          <w:tcPr>
            <w:tcW w:w="1264" w:type="dxa"/>
            <w:vAlign w:val="center"/>
          </w:tcPr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1 İş günü</w:t>
            </w:r>
          </w:p>
        </w:tc>
        <w:tc>
          <w:tcPr>
            <w:tcW w:w="2242" w:type="dxa"/>
            <w:vAlign w:val="center"/>
          </w:tcPr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Salih KILINÇ</w:t>
            </w:r>
          </w:p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Ali ÖZGÜNER</w:t>
            </w:r>
          </w:p>
          <w:p w:rsidR="00892D8E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proofErr w:type="spellStart"/>
            <w:r>
              <w:rPr>
                <w:rFonts w:ascii="Cambria" w:hAnsi="Cambria"/>
                <w:bCs/>
                <w:i/>
                <w:sz w:val="20"/>
              </w:rPr>
              <w:t>İlyaz</w:t>
            </w:r>
            <w:proofErr w:type="spellEnd"/>
            <w:r>
              <w:rPr>
                <w:rFonts w:ascii="Cambria" w:hAnsi="Cambria"/>
                <w:bCs/>
                <w:i/>
                <w:sz w:val="20"/>
              </w:rPr>
              <w:t xml:space="preserve"> YILDIRIM </w:t>
            </w:r>
          </w:p>
          <w:p w:rsidR="00892D8E" w:rsidRPr="00742556" w:rsidRDefault="00892D8E" w:rsidP="00892D8E">
            <w:pPr>
              <w:pStyle w:val="AralkYok"/>
              <w:rPr>
                <w:rFonts w:ascii="Cambria" w:hAnsi="Cambria"/>
                <w:bCs/>
                <w:i/>
                <w:sz w:val="20"/>
              </w:rPr>
            </w:pPr>
            <w:r>
              <w:rPr>
                <w:rFonts w:ascii="Cambria" w:hAnsi="Cambria"/>
                <w:bCs/>
                <w:i/>
                <w:sz w:val="20"/>
              </w:rPr>
              <w:t>Kadir TEMEL</w:t>
            </w:r>
          </w:p>
        </w:tc>
      </w:tr>
    </w:tbl>
    <w:p w:rsidR="00244847" w:rsidRPr="0016012C" w:rsidRDefault="00244847" w:rsidP="005B0C52">
      <w:pPr>
        <w:pStyle w:val="AralkYok"/>
        <w:rPr>
          <w:rFonts w:ascii="Cambria" w:hAnsi="Cambria"/>
          <w:b/>
          <w:bCs/>
          <w:color w:val="000000" w:themeColor="text1"/>
        </w:rPr>
      </w:pPr>
      <w:bookmarkStart w:id="0" w:name="_GoBack"/>
      <w:bookmarkEnd w:id="0"/>
    </w:p>
    <w:sectPr w:rsidR="00244847" w:rsidRPr="0016012C" w:rsidSect="0004172D">
      <w:headerReference w:type="default" r:id="rId6"/>
      <w:footerReference w:type="default" r:id="rId7"/>
      <w:pgSz w:w="16838" w:h="11906" w:orient="landscape"/>
      <w:pgMar w:top="2410" w:right="1134" w:bottom="1418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02" w:rsidRDefault="007C6E02" w:rsidP="00534F7F">
      <w:pPr>
        <w:spacing w:after="0" w:line="240" w:lineRule="auto"/>
      </w:pPr>
      <w:r>
        <w:separator/>
      </w:r>
    </w:p>
  </w:endnote>
  <w:endnote w:type="continuationSeparator" w:id="0">
    <w:p w:rsidR="007C6E02" w:rsidRDefault="007C6E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FA4935" w:rsidRDefault="00534F7F" w:rsidP="00534F7F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124"/>
      <w:gridCol w:w="614"/>
      <w:gridCol w:w="2409"/>
      <w:gridCol w:w="284"/>
      <w:gridCol w:w="3827"/>
      <w:gridCol w:w="1418"/>
    </w:tblGrid>
    <w:tr w:rsidR="00FA4935" w:rsidRPr="00FA4935" w:rsidTr="00403455">
      <w:trPr>
        <w:trHeight w:val="559"/>
      </w:trPr>
      <w:tc>
        <w:tcPr>
          <w:tcW w:w="666" w:type="dxa"/>
        </w:tcPr>
        <w:p w:rsidR="00403455" w:rsidRPr="00FA4935" w:rsidRDefault="00403455" w:rsidP="0040345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124" w:type="dxa"/>
          <w:tcBorders>
            <w:right w:val="single" w:sz="4" w:space="0" w:color="auto"/>
          </w:tcBorders>
        </w:tcPr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403455" w:rsidRPr="00FA4935" w:rsidRDefault="00403455" w:rsidP="00C563B1">
          <w:pPr>
            <w:pStyle w:val="AltBilgi"/>
            <w:tabs>
              <w:tab w:val="clear" w:pos="4536"/>
              <w:tab w:val="clear" w:pos="9072"/>
              <w:tab w:val="left" w:pos="4080"/>
            </w:tabs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  <w:r w:rsidR="00C563B1">
            <w:rPr>
              <w:rFonts w:ascii="Cambria" w:hAnsi="Cambria"/>
              <w:color w:val="000000" w:themeColor="text1"/>
              <w:sz w:val="16"/>
              <w:szCs w:val="16"/>
            </w:rPr>
            <w:tab/>
          </w:r>
        </w:p>
      </w:tc>
      <w:tc>
        <w:tcPr>
          <w:tcW w:w="614" w:type="dxa"/>
          <w:tcBorders>
            <w:left w:val="single" w:sz="4" w:space="0" w:color="auto"/>
          </w:tcBorders>
        </w:tcPr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409" w:type="dxa"/>
        </w:tcPr>
        <w:p w:rsidR="00403455" w:rsidRPr="00FA4935" w:rsidRDefault="00403455" w:rsidP="0040345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403455" w:rsidRPr="00FA4935" w:rsidRDefault="00403455" w:rsidP="00403455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403455" w:rsidRPr="00FA4935" w:rsidRDefault="00403455" w:rsidP="0040345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403455" w:rsidRPr="00FA4935" w:rsidRDefault="00403455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403455" w:rsidRPr="00FA4935" w:rsidRDefault="00267C70" w:rsidP="00403455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imid</w:t>
          </w:r>
          <w:r w:rsidR="00403455" w:rsidRPr="00FA4935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403455" w:rsidRPr="00FA4935" w:rsidRDefault="00403455" w:rsidP="00403455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892D8E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FA4935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892D8E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4</w:t>
          </w:r>
          <w:r w:rsidRPr="00FA4935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FA4935" w:rsidRDefault="00534F7F">
    <w:pPr>
      <w:pStyle w:val="AltBilgi"/>
      <w:rPr>
        <w:color w:val="000000" w:themeColor="text1"/>
        <w:sz w:val="6"/>
        <w:szCs w:val="6"/>
      </w:rPr>
    </w:pPr>
  </w:p>
  <w:p w:rsidR="00EB72A7" w:rsidRPr="00FA4935" w:rsidRDefault="00EB72A7">
    <w:pPr>
      <w:pStyle w:val="AltBilgi"/>
      <w:rPr>
        <w:color w:val="000000" w:themeColor="text1"/>
        <w:sz w:val="6"/>
        <w:szCs w:val="6"/>
      </w:rPr>
    </w:pPr>
    <w:r w:rsidRPr="00FA4935">
      <w:rPr>
        <w:rFonts w:ascii="Cambria" w:hAnsi="Cambria"/>
        <w:i/>
        <w:color w:val="000000" w:themeColor="text1"/>
        <w:sz w:val="16"/>
        <w:szCs w:val="16"/>
      </w:rPr>
      <w:t>(Form No: FRM-0003,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02" w:rsidRDefault="007C6E02" w:rsidP="00534F7F">
      <w:pPr>
        <w:spacing w:after="0" w:line="240" w:lineRule="auto"/>
      </w:pPr>
      <w:r>
        <w:separator/>
      </w:r>
    </w:p>
  </w:footnote>
  <w:footnote w:type="continuationSeparator" w:id="0">
    <w:p w:rsidR="007C6E02" w:rsidRDefault="007C6E0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16012C" w:rsidRPr="0016012C" w:rsidTr="00D04D2D">
      <w:trPr>
        <w:trHeight w:val="189"/>
      </w:trPr>
      <w:tc>
        <w:tcPr>
          <w:tcW w:w="2547" w:type="dxa"/>
          <w:vMerge w:val="restart"/>
        </w:tcPr>
        <w:p w:rsidR="00D557C0" w:rsidRPr="0016012C" w:rsidRDefault="0016012C" w:rsidP="00D557C0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16012C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2EE1BB2" wp14:editId="53A93189">
                <wp:extent cx="981075" cy="742950"/>
                <wp:effectExtent l="0" t="0" r="9525" b="0"/>
                <wp:docPr id="52" name="Resim 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16012C" w:rsidRDefault="009B1199" w:rsidP="00437CF7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16012C">
            <w:rPr>
              <w:rFonts w:ascii="Cambria" w:hAnsi="Cambria"/>
              <w:b/>
              <w:color w:val="000000" w:themeColor="text1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012C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6012C" w:rsidRDefault="00534F7F" w:rsidP="00DE73DD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012C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16012C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DE73DD" w:rsidRPr="0016012C">
            <w:rPr>
              <w:rFonts w:ascii="Cambria" w:hAnsi="Cambria"/>
              <w:color w:val="000000" w:themeColor="text1"/>
              <w:sz w:val="16"/>
              <w:szCs w:val="16"/>
            </w:rPr>
            <w:t>638</w:t>
          </w:r>
        </w:p>
      </w:tc>
    </w:tr>
    <w:tr w:rsidR="0016012C" w:rsidRPr="0016012C" w:rsidTr="00D04D2D">
      <w:trPr>
        <w:trHeight w:val="187"/>
      </w:trPr>
      <w:tc>
        <w:tcPr>
          <w:tcW w:w="2547" w:type="dxa"/>
          <w:vMerge/>
        </w:tcPr>
        <w:p w:rsidR="00534F7F" w:rsidRPr="0016012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6012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012C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16012C" w:rsidRPr="0016012C" w:rsidTr="00D04D2D">
      <w:trPr>
        <w:trHeight w:val="187"/>
      </w:trPr>
      <w:tc>
        <w:tcPr>
          <w:tcW w:w="2547" w:type="dxa"/>
          <w:vMerge/>
        </w:tcPr>
        <w:p w:rsidR="00534F7F" w:rsidRPr="0016012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6012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012C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16012C" w:rsidTr="0004172D">
      <w:trPr>
        <w:trHeight w:val="382"/>
      </w:trPr>
      <w:tc>
        <w:tcPr>
          <w:tcW w:w="2547" w:type="dxa"/>
          <w:vMerge/>
        </w:tcPr>
        <w:p w:rsidR="00534F7F" w:rsidRPr="0016012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6012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012C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6012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F958F7" w:rsidRPr="0016012C" w:rsidRDefault="00F958F7" w:rsidP="00C563B1">
    <w:pPr>
      <w:pStyle w:val="stBilgi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799C"/>
    <w:rsid w:val="0004172D"/>
    <w:rsid w:val="000B5CD3"/>
    <w:rsid w:val="00116355"/>
    <w:rsid w:val="001368C2"/>
    <w:rsid w:val="0016012C"/>
    <w:rsid w:val="0016030B"/>
    <w:rsid w:val="00164950"/>
    <w:rsid w:val="001A4C49"/>
    <w:rsid w:val="001F16FF"/>
    <w:rsid w:val="0020508C"/>
    <w:rsid w:val="00244847"/>
    <w:rsid w:val="00267C70"/>
    <w:rsid w:val="00271BDB"/>
    <w:rsid w:val="002753FA"/>
    <w:rsid w:val="002F0FD6"/>
    <w:rsid w:val="003230A8"/>
    <w:rsid w:val="003C0F72"/>
    <w:rsid w:val="003D72D5"/>
    <w:rsid w:val="00403455"/>
    <w:rsid w:val="00406E3A"/>
    <w:rsid w:val="00437CF7"/>
    <w:rsid w:val="004B24B6"/>
    <w:rsid w:val="004C0CC2"/>
    <w:rsid w:val="004C2E60"/>
    <w:rsid w:val="004F6F98"/>
    <w:rsid w:val="00534F7F"/>
    <w:rsid w:val="00561AEB"/>
    <w:rsid w:val="00587671"/>
    <w:rsid w:val="005B0C52"/>
    <w:rsid w:val="00634E90"/>
    <w:rsid w:val="0064705C"/>
    <w:rsid w:val="006561A6"/>
    <w:rsid w:val="006878C5"/>
    <w:rsid w:val="00713C08"/>
    <w:rsid w:val="00742556"/>
    <w:rsid w:val="007748FD"/>
    <w:rsid w:val="007C1EC8"/>
    <w:rsid w:val="007C6E02"/>
    <w:rsid w:val="00811B7D"/>
    <w:rsid w:val="00812649"/>
    <w:rsid w:val="00846AD8"/>
    <w:rsid w:val="00892D8E"/>
    <w:rsid w:val="00900183"/>
    <w:rsid w:val="009B1199"/>
    <w:rsid w:val="009D7EB8"/>
    <w:rsid w:val="00A5214F"/>
    <w:rsid w:val="00AA3CB6"/>
    <w:rsid w:val="00B178C6"/>
    <w:rsid w:val="00B2469A"/>
    <w:rsid w:val="00BE18EE"/>
    <w:rsid w:val="00BE3E80"/>
    <w:rsid w:val="00C563B1"/>
    <w:rsid w:val="00CA3C03"/>
    <w:rsid w:val="00CC3E17"/>
    <w:rsid w:val="00CF5DBC"/>
    <w:rsid w:val="00D00CA5"/>
    <w:rsid w:val="00D04D2D"/>
    <w:rsid w:val="00D557C0"/>
    <w:rsid w:val="00DE73DD"/>
    <w:rsid w:val="00E00EEB"/>
    <w:rsid w:val="00E741EC"/>
    <w:rsid w:val="00EA34CE"/>
    <w:rsid w:val="00EB72A7"/>
    <w:rsid w:val="00ED1E8F"/>
    <w:rsid w:val="00F478AB"/>
    <w:rsid w:val="00F958F7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FFF1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4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C1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Salih KILINÇ</cp:lastModifiedBy>
  <cp:revision>11</cp:revision>
  <dcterms:created xsi:type="dcterms:W3CDTF">2021-12-28T12:43:00Z</dcterms:created>
  <dcterms:modified xsi:type="dcterms:W3CDTF">2024-06-12T11:36:00Z</dcterms:modified>
</cp:coreProperties>
</file>